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D0" w:rsidRDefault="00971A13">
      <w:pPr>
        <w:pStyle w:val="af7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ПАСПОРТ ПРОЕКТА</w:t>
      </w:r>
    </w:p>
    <w:p w:rsidR="000058D0" w:rsidRDefault="000058D0">
      <w:pPr>
        <w:spacing w:before="120" w:after="120"/>
        <w:rPr>
          <w:i/>
          <w:sz w:val="28"/>
        </w:rPr>
      </w:pPr>
    </w:p>
    <w:tbl>
      <w:tblPr>
        <w:tblStyle w:val="19"/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6855"/>
      </w:tblGrid>
      <w:tr w:rsidR="000058D0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8D0" w:rsidRDefault="00971A13">
            <w:pPr>
              <w:ind w:left="113"/>
              <w:rPr>
                <w:sz w:val="28"/>
              </w:rPr>
            </w:pPr>
            <w:r>
              <w:rPr>
                <w:b/>
                <w:sz w:val="26"/>
              </w:rPr>
              <w:t>Наименование проекта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8D0" w:rsidRDefault="00971A13">
            <w:pPr>
              <w:ind w:left="113" w:right="130"/>
            </w:pPr>
            <w:r>
              <w:t>Возрождение заброшенного родника, расположенного в живописном месте  в районе городского стадиона в г. Жиздра Калужской области, координаты 53.742525, 34.746701</w:t>
            </w:r>
          </w:p>
        </w:tc>
      </w:tr>
      <w:tr w:rsidR="000058D0">
        <w:trPr>
          <w:trHeight w:val="124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/>
              <w:rPr>
                <w:sz w:val="28"/>
              </w:rPr>
            </w:pPr>
            <w:r>
              <w:rPr>
                <w:b/>
                <w:sz w:val="26"/>
              </w:rPr>
              <w:t>Основания для инициации проекта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(актуальность)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 w:rsidP="0022427E">
            <w:pPr>
              <w:ind w:left="113" w:right="145"/>
            </w:pPr>
            <w:r>
              <w:t>В связи</w:t>
            </w:r>
            <w:r>
              <w:t xml:space="preserve">  с  повсеместным  развитием  централизованного  водоснабжения  в настоящее  время  бережное  отношение  к  родникам  незаслуженно  забыто, многие  прекрасные  родники  оказались  заброшенными  и  требуют  не  только благоустройства, но и спасения. Вода - </w:t>
            </w:r>
            <w:r>
              <w:t>самое распространенное на Земле вещество, она занимает более 70% площади поверхности земли, и только около 30% приходится на долю суши. Родниковая вода имеет «правильную структуру» «живой» воды, так как она проходит в родниковой жиле многие километры сквоз</w:t>
            </w:r>
            <w:r>
              <w:t>ь мелкий песок, насыщается микроэлементами, кластеры молекул воды разбиваются</w:t>
            </w:r>
            <w:r>
              <w:t>, вода идеально фильтруется. Химический состав родниковой воды сбалансирован самой природой. Температура родниково</w:t>
            </w:r>
            <w:proofErr w:type="gramStart"/>
            <w:r>
              <w:t>й(</w:t>
            </w:r>
            <w:proofErr w:type="gramEnd"/>
            <w:r>
              <w:t>ключевой) воды до 6 С, что препятствует размножению в ней боле</w:t>
            </w:r>
            <w:r>
              <w:t>знетворных бактерий.</w:t>
            </w:r>
            <w:r>
              <w:rPr>
                <w:rFonts w:ascii="Arial" w:hAnsi="Arial"/>
                <w:color w:val="231F20"/>
                <w:sz w:val="15"/>
                <w:highlight w:val="white"/>
              </w:rPr>
              <w:t xml:space="preserve"> </w:t>
            </w:r>
            <w:r>
              <w:rPr>
                <w:color w:val="231F20"/>
                <w:highlight w:val="white"/>
              </w:rPr>
              <w:t>Состояние водопроводных сетей в нашем регионе  является неудовлетворительным. Они характеризуются высоким уровнем износа, который составляет около 80%. Кроме того, как показывает статистика, функционирующие в данный момент водопроводны</w:t>
            </w:r>
            <w:r>
              <w:rPr>
                <w:color w:val="231F20"/>
                <w:highlight w:val="white"/>
              </w:rPr>
              <w:t>е системы имеют низкий коэффициенты полезного действия (КПД) и использования производственных мощностей, высоким уровнем потерь, ежегодно растет процент их износа</w:t>
            </w:r>
            <w:r>
              <w:rPr>
                <w:rFonts w:ascii="Arial" w:hAnsi="Arial"/>
                <w:color w:val="231F20"/>
                <w:sz w:val="15"/>
                <w:highlight w:val="white"/>
              </w:rPr>
              <w:t>. </w:t>
            </w:r>
            <w:r>
              <w:t xml:space="preserve"> Так же родники являются стратегическими объектами природы. При возникновении чрезвычайной с</w:t>
            </w:r>
            <w:r>
              <w:t>итуации они смогут служить естественными источниками питьевой воды для населения.</w:t>
            </w:r>
          </w:p>
        </w:tc>
      </w:tr>
      <w:tr w:rsidR="000058D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/>
              <w:rPr>
                <w:b/>
                <w:sz w:val="26"/>
              </w:rPr>
            </w:pPr>
            <w:r>
              <w:rPr>
                <w:b/>
                <w:sz w:val="26"/>
              </w:rPr>
              <w:t>Цель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42"/>
            </w:pPr>
            <w:r>
              <w:t>Обеспечение местных жителей качественной водой, возродив  родник до 1 апреля 2023 года.</w:t>
            </w:r>
          </w:p>
        </w:tc>
      </w:tr>
      <w:tr w:rsidR="000058D0">
        <w:trPr>
          <w:trHeight w:val="74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pStyle w:val="af"/>
              <w:numPr>
                <w:ilvl w:val="0"/>
                <w:numId w:val="1"/>
              </w:numPr>
              <w:ind w:right="145"/>
            </w:pPr>
            <w:r>
              <w:t xml:space="preserve">Организовать благоустройство родника и прилегающей к </w:t>
            </w:r>
            <w:r>
              <w:t>нему территории;</w:t>
            </w:r>
          </w:p>
          <w:p w:rsidR="000058D0" w:rsidRDefault="00971A13">
            <w:pPr>
              <w:pStyle w:val="af"/>
              <w:numPr>
                <w:ilvl w:val="0"/>
                <w:numId w:val="1"/>
              </w:numPr>
              <w:ind w:right="145"/>
            </w:pPr>
            <w:r>
              <w:t>Сохранение родника;</w:t>
            </w:r>
          </w:p>
          <w:p w:rsidR="000058D0" w:rsidRPr="0022427E" w:rsidRDefault="00971A13">
            <w:pPr>
              <w:pStyle w:val="af"/>
              <w:numPr>
                <w:ilvl w:val="0"/>
                <w:numId w:val="1"/>
              </w:numPr>
              <w:ind w:right="145"/>
              <w:rPr>
                <w:szCs w:val="24"/>
              </w:rPr>
            </w:pPr>
            <w:r w:rsidRPr="0022427E">
              <w:rPr>
                <w:szCs w:val="24"/>
              </w:rPr>
              <w:t xml:space="preserve">Формирование </w:t>
            </w:r>
            <w:proofErr w:type="gramStart"/>
            <w:r w:rsidRPr="0022427E">
              <w:rPr>
                <w:szCs w:val="24"/>
              </w:rPr>
              <w:t>экологической</w:t>
            </w:r>
            <w:proofErr w:type="gramEnd"/>
            <w:r w:rsidRPr="0022427E">
              <w:rPr>
                <w:szCs w:val="24"/>
              </w:rPr>
              <w:t xml:space="preserve"> культуры в обществе;</w:t>
            </w:r>
          </w:p>
          <w:p w:rsidR="000058D0" w:rsidRDefault="00971A13">
            <w:pPr>
              <w:pStyle w:val="af"/>
              <w:numPr>
                <w:ilvl w:val="0"/>
                <w:numId w:val="1"/>
              </w:numPr>
              <w:ind w:right="145"/>
            </w:pPr>
            <w:r>
              <w:t xml:space="preserve">Донести до сознания местных жителей необходимость сохранять родник в чистоте и порядке; </w:t>
            </w:r>
          </w:p>
          <w:p w:rsidR="000058D0" w:rsidRDefault="00971A13">
            <w:pPr>
              <w:pStyle w:val="af"/>
              <w:numPr>
                <w:ilvl w:val="0"/>
                <w:numId w:val="1"/>
              </w:numPr>
              <w:ind w:right="145"/>
            </w:pPr>
            <w:r>
              <w:t>Привлечение внимания социума к проблемам благоустройства родников.</w:t>
            </w:r>
          </w:p>
        </w:tc>
      </w:tr>
      <w:tr w:rsidR="000058D0">
        <w:trPr>
          <w:trHeight w:val="43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/>
              <w:rPr>
                <w:b/>
                <w:sz w:val="26"/>
              </w:rPr>
            </w:pPr>
            <w:r>
              <w:rPr>
                <w:b/>
                <w:sz w:val="26"/>
              </w:rPr>
              <w:t>Продукт (резул</w:t>
            </w:r>
            <w:r>
              <w:rPr>
                <w:b/>
                <w:sz w:val="26"/>
              </w:rPr>
              <w:t>ьтат)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60" w:right="145"/>
            </w:pPr>
            <w:r>
              <w:t>Благоустроенный и чистый родник с питьевой водой для населения.</w:t>
            </w:r>
          </w:p>
          <w:p w:rsidR="000058D0" w:rsidRDefault="000058D0">
            <w:pPr>
              <w:ind w:left="60" w:right="145"/>
            </w:pPr>
          </w:p>
        </w:tc>
      </w:tr>
      <w:tr w:rsidR="000058D0">
        <w:trPr>
          <w:trHeight w:val="107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/>
              <w:rPr>
                <w:b/>
                <w:sz w:val="28"/>
              </w:rPr>
            </w:pPr>
            <w:r>
              <w:rPr>
                <w:b/>
                <w:sz w:val="26"/>
              </w:rPr>
              <w:t>Выгоды (эффекты от реализации)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 w:right="148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Возможность для местного населения пользоваться чистой родниковой водой в благоустроенном месте.</w:t>
            </w:r>
          </w:p>
          <w:p w:rsidR="000058D0" w:rsidRDefault="00971A13">
            <w:pPr>
              <w:ind w:left="60" w:right="145"/>
            </w:pPr>
            <w:r>
              <w:t xml:space="preserve"> Повышение уровня экологического образования;</w:t>
            </w:r>
          </w:p>
          <w:p w:rsidR="000058D0" w:rsidRDefault="000058D0">
            <w:pPr>
              <w:ind w:left="113" w:right="148"/>
            </w:pPr>
          </w:p>
        </w:tc>
      </w:tr>
      <w:tr w:rsidR="000058D0">
        <w:trPr>
          <w:trHeight w:val="9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/>
              <w:rPr>
                <w:sz w:val="28"/>
              </w:rPr>
            </w:pPr>
            <w:r>
              <w:rPr>
                <w:b/>
                <w:sz w:val="26"/>
              </w:rPr>
              <w:lastRenderedPageBreak/>
              <w:t>Критерии успеха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42"/>
            </w:pPr>
            <w:r>
              <w:t xml:space="preserve">В связи с уже устаревшим водопроводом часто (особенно </w:t>
            </w:r>
            <w:r>
              <w:t xml:space="preserve"> летом) возникают проблемы с водой. Поэтому благоустройство родника будет способствовать потреблению чистой питьевой воды </w:t>
            </w:r>
            <w:r>
              <w:t xml:space="preserve">жителями города. </w:t>
            </w:r>
            <w:proofErr w:type="gramStart"/>
            <w:r>
              <w:t xml:space="preserve">Большинство местных жителей </w:t>
            </w:r>
            <w:r>
              <w:t xml:space="preserve"> предпочтут употреблять в пищу чистую</w:t>
            </w:r>
            <w:proofErr w:type="gramEnd"/>
            <w:r>
              <w:t xml:space="preserve"> родниковую воду.</w:t>
            </w:r>
          </w:p>
          <w:p w:rsidR="000058D0" w:rsidRDefault="000058D0">
            <w:pPr>
              <w:ind w:left="142"/>
            </w:pPr>
          </w:p>
        </w:tc>
      </w:tr>
      <w:tr w:rsidR="000058D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/>
              <w:rPr>
                <w:b/>
                <w:sz w:val="28"/>
              </w:rPr>
            </w:pPr>
            <w:r>
              <w:rPr>
                <w:b/>
                <w:sz w:val="26"/>
              </w:rPr>
              <w:t>Период реализации проекта. Этапы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 w:right="145"/>
            </w:pPr>
            <w:r>
              <w:t>Проект планируется реализовать в течение 1 года с 01 апреля 2022 года.</w:t>
            </w:r>
          </w:p>
          <w:p w:rsidR="000058D0" w:rsidRDefault="00971A13">
            <w:pPr>
              <w:pStyle w:val="af1"/>
              <w:spacing w:after="136"/>
              <w:ind w:left="142"/>
            </w:pPr>
            <w:r>
              <w:rPr>
                <w:b/>
              </w:rPr>
              <w:t>1)Подготовительный этап</w:t>
            </w:r>
            <w:r>
              <w:t xml:space="preserve">: постановка </w:t>
            </w:r>
            <w:r>
              <w:t>проблемы, планирование времени проекта, сбор информации о местонахождении родника, оценка экологического состояния родника, проведение мероприятий по экологическому просвещению среди школьников и местных жителей, социологический опрос среди населения, план</w:t>
            </w:r>
            <w:r>
              <w:t>ирование бюджета, поиск и заключение договора с подрядчиком.</w:t>
            </w:r>
          </w:p>
          <w:p w:rsidR="000058D0" w:rsidRDefault="00971A13">
            <w:pPr>
              <w:pStyle w:val="af1"/>
              <w:spacing w:after="136"/>
              <w:ind w:left="142"/>
            </w:pPr>
            <w:r>
              <w:t>2) </w:t>
            </w:r>
            <w:r>
              <w:rPr>
                <w:b/>
              </w:rPr>
              <w:t>Практический этап</w:t>
            </w:r>
            <w:r>
              <w:t xml:space="preserve"> (этап реализации проекта): </w:t>
            </w:r>
            <w:r>
              <w:t>Провести реконструкцию резервуара с водой. Засыпать дно родника бутом, установка приспособлений для предотвращения попадания мусора в родник. Благо</w:t>
            </w:r>
            <w:r>
              <w:t>устройство территории родника. Организовать круглогодичный подъезд. Обустроить удаленную стоянку для автотранспорта.</w:t>
            </w:r>
          </w:p>
          <w:p w:rsidR="000058D0" w:rsidRDefault="00971A13">
            <w:pPr>
              <w:pStyle w:val="af1"/>
              <w:spacing w:after="136"/>
              <w:ind w:left="142"/>
            </w:pPr>
            <w:r>
              <w:t>3) </w:t>
            </w:r>
            <w:r>
              <w:rPr>
                <w:b/>
              </w:rPr>
              <w:t>Завершающий этап</w:t>
            </w:r>
            <w:r>
              <w:t xml:space="preserve">: Подведение итогов, презентация проекта, отчет о проделанной работе, дальнейший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воды со стороны ц</w:t>
            </w:r>
            <w:r>
              <w:t>ентра гигиены и эпидемиологии по Калужской области в Жиздринском районе, контроль за территорией со стороны МБУ « ЖИЗДРАБЛАГОУСТРОЙСТВО»</w:t>
            </w:r>
          </w:p>
        </w:tc>
      </w:tr>
      <w:tr w:rsidR="000058D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 w:right="276"/>
              <w:rPr>
                <w:b/>
                <w:sz w:val="26"/>
              </w:rPr>
            </w:pPr>
            <w:r>
              <w:rPr>
                <w:b/>
                <w:sz w:val="26"/>
              </w:rPr>
              <w:t>Бюджет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pStyle w:val="af"/>
              <w:numPr>
                <w:ilvl w:val="0"/>
                <w:numId w:val="2"/>
              </w:numPr>
              <w:ind w:right="145"/>
            </w:pPr>
            <w:r>
              <w:t>произвести отбор проб и обработать данные по органолептическому, химическому и бактериологическому анал</w:t>
            </w:r>
            <w:r>
              <w:t>изу воды - 20 тыс. руб.</w:t>
            </w:r>
          </w:p>
          <w:p w:rsidR="000058D0" w:rsidRDefault="00971A13">
            <w:pPr>
              <w:pStyle w:val="af"/>
              <w:numPr>
                <w:ilvl w:val="0"/>
                <w:numId w:val="2"/>
              </w:numPr>
              <w:ind w:right="145"/>
            </w:pPr>
            <w:r>
              <w:t>Очистка родника - 15 тыс. руб.</w:t>
            </w:r>
          </w:p>
          <w:p w:rsidR="000058D0" w:rsidRDefault="00971A13">
            <w:pPr>
              <w:pStyle w:val="af"/>
              <w:numPr>
                <w:ilvl w:val="0"/>
                <w:numId w:val="2"/>
              </w:numPr>
              <w:ind w:right="145"/>
            </w:pPr>
            <w:r>
              <w:t>Разбор старого сруба - 10 тыс. руб.</w:t>
            </w:r>
          </w:p>
          <w:p w:rsidR="000058D0" w:rsidRDefault="00971A13">
            <w:pPr>
              <w:pStyle w:val="af"/>
              <w:numPr>
                <w:ilvl w:val="0"/>
                <w:numId w:val="2"/>
              </w:numPr>
              <w:ind w:right="145"/>
            </w:pPr>
            <w:r>
              <w:t>Изготовление и установка нового сруба - 65 тыс. руб.</w:t>
            </w:r>
          </w:p>
          <w:p w:rsidR="000058D0" w:rsidRDefault="00971A13">
            <w:pPr>
              <w:pStyle w:val="af"/>
              <w:numPr>
                <w:ilvl w:val="0"/>
                <w:numId w:val="2"/>
              </w:numPr>
              <w:ind w:right="145"/>
            </w:pPr>
            <w:r>
              <w:t>Благоустройство территории - 84 тыс. руб.</w:t>
            </w:r>
          </w:p>
          <w:p w:rsidR="000058D0" w:rsidRDefault="00971A13">
            <w:pPr>
              <w:pStyle w:val="af"/>
              <w:numPr>
                <w:ilvl w:val="0"/>
                <w:numId w:val="2"/>
              </w:numPr>
              <w:ind w:right="145"/>
            </w:pPr>
            <w:r>
              <w:t>Ограждение родника - 56 тыс. руб.</w:t>
            </w:r>
          </w:p>
          <w:p w:rsidR="000058D0" w:rsidRDefault="00971A13">
            <w:pPr>
              <w:pStyle w:val="af"/>
              <w:ind w:right="145"/>
            </w:pPr>
            <w:r>
              <w:t>Итого:  250 тыс. руб.</w:t>
            </w:r>
          </w:p>
        </w:tc>
      </w:tr>
      <w:tr w:rsidR="000058D0">
        <w:trPr>
          <w:trHeight w:val="85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/>
              <w:rPr>
                <w:b/>
                <w:sz w:val="26"/>
              </w:rPr>
            </w:pPr>
            <w:r>
              <w:rPr>
                <w:b/>
                <w:sz w:val="26"/>
              </w:rPr>
              <w:t>Заинтересованные стороны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22427E" w:rsidRDefault="00971A13">
            <w:pPr>
              <w:ind w:left="113" w:right="145"/>
            </w:pPr>
            <w:r>
              <w:t>Администрация МР «Жиздринский район»,  жители города Жиздра</w:t>
            </w:r>
            <w:bookmarkStart w:id="0" w:name="_GoBack"/>
            <w:bookmarkEnd w:id="0"/>
            <w:r>
              <w:t xml:space="preserve"> — школьники, молодежь города, пенсионеры, ФБУЗ "Центр гигиены и эпидемиологии в Калужской области", </w:t>
            </w:r>
          </w:p>
          <w:p w:rsidR="000058D0" w:rsidRDefault="00971A13">
            <w:pPr>
              <w:ind w:left="113" w:right="145"/>
            </w:pPr>
            <w:r>
              <w:t>МБУ "ЖИЗДРАБЛАГОУСТРОЙСТВО"</w:t>
            </w:r>
          </w:p>
          <w:p w:rsidR="000058D0" w:rsidRDefault="000058D0">
            <w:pPr>
              <w:ind w:left="113" w:right="145"/>
            </w:pPr>
          </w:p>
        </w:tc>
      </w:tr>
      <w:tr w:rsidR="000058D0">
        <w:trPr>
          <w:trHeight w:val="15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 w:right="276"/>
              <w:rPr>
                <w:b/>
                <w:sz w:val="26"/>
              </w:rPr>
            </w:pPr>
            <w:r>
              <w:rPr>
                <w:b/>
                <w:sz w:val="26"/>
              </w:rPr>
              <w:t>Риски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pStyle w:val="af"/>
              <w:numPr>
                <w:ilvl w:val="0"/>
                <w:numId w:val="3"/>
              </w:numPr>
              <w:ind w:right="145"/>
            </w:pPr>
            <w:r>
              <w:t xml:space="preserve">При проведении строительных работ рядом с родником легко задеть водоносную жилу, наткнуться на плывуны, вызвать обвал почвы; </w:t>
            </w:r>
          </w:p>
          <w:p w:rsidR="000058D0" w:rsidRDefault="00971A13">
            <w:pPr>
              <w:pStyle w:val="af"/>
              <w:numPr>
                <w:ilvl w:val="0"/>
                <w:numId w:val="3"/>
              </w:numPr>
              <w:ind w:right="145"/>
            </w:pPr>
            <w:r>
              <w:t>Во время весеннего половодья возможно подтопление территории;</w:t>
            </w:r>
          </w:p>
          <w:p w:rsidR="000058D0" w:rsidRDefault="00971A13">
            <w:pPr>
              <w:pStyle w:val="af"/>
              <w:numPr>
                <w:ilvl w:val="0"/>
                <w:numId w:val="3"/>
              </w:numPr>
              <w:ind w:right="145"/>
            </w:pPr>
            <w:r>
              <w:lastRenderedPageBreak/>
              <w:t>Привлечение к работам людей недостаточно квалифицированных;</w:t>
            </w:r>
          </w:p>
          <w:p w:rsidR="000058D0" w:rsidRDefault="00971A13">
            <w:pPr>
              <w:pStyle w:val="af"/>
              <w:numPr>
                <w:ilvl w:val="0"/>
                <w:numId w:val="3"/>
              </w:numPr>
              <w:ind w:right="145"/>
            </w:pPr>
            <w:r>
              <w:t>Финансир</w:t>
            </w:r>
            <w:r>
              <w:t>ование проекта;</w:t>
            </w:r>
          </w:p>
          <w:p w:rsidR="000058D0" w:rsidRDefault="00971A13">
            <w:pPr>
              <w:pStyle w:val="af"/>
              <w:numPr>
                <w:ilvl w:val="0"/>
                <w:numId w:val="3"/>
              </w:numPr>
              <w:ind w:right="145"/>
            </w:pPr>
            <w:r>
              <w:t>Инфляция на рынке строительных материалов.</w:t>
            </w:r>
          </w:p>
        </w:tc>
      </w:tr>
      <w:tr w:rsidR="000058D0">
        <w:trPr>
          <w:trHeight w:val="12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left="113" w:right="276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Команда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0058D0" w:rsidRDefault="00971A13">
            <w:pPr>
              <w:ind w:right="145"/>
            </w:pPr>
            <w:r>
              <w:t>Бушуева Анастасия – организатор</w:t>
            </w:r>
          </w:p>
          <w:p w:rsidR="000058D0" w:rsidRDefault="00971A13">
            <w:pPr>
              <w:ind w:right="145"/>
            </w:pPr>
            <w:r>
              <w:t>Воробьева Марина – маркетолог</w:t>
            </w:r>
          </w:p>
          <w:p w:rsidR="000058D0" w:rsidRDefault="00971A13">
            <w:pPr>
              <w:ind w:right="145"/>
            </w:pPr>
            <w:r>
              <w:t>Абрамова Елена – оформитель, генератор идей.</w:t>
            </w:r>
          </w:p>
        </w:tc>
      </w:tr>
    </w:tbl>
    <w:p w:rsidR="000058D0" w:rsidRDefault="000058D0"/>
    <w:p w:rsidR="000058D0" w:rsidRDefault="000058D0"/>
    <w:sectPr w:rsidR="000058D0">
      <w:footerReference w:type="default" r:id="rId8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13" w:rsidRDefault="00971A13">
      <w:r>
        <w:separator/>
      </w:r>
    </w:p>
  </w:endnote>
  <w:endnote w:type="continuationSeparator" w:id="0">
    <w:p w:rsidR="00971A13" w:rsidRDefault="009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D0" w:rsidRDefault="00971A13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22427E">
      <w:fldChar w:fldCharType="separate"/>
    </w:r>
    <w:r w:rsidR="0022427E">
      <w:rPr>
        <w:noProof/>
      </w:rPr>
      <w:t>3</w:t>
    </w:r>
    <w:r>
      <w:fldChar w:fldCharType="end"/>
    </w:r>
  </w:p>
  <w:p w:rsidR="000058D0" w:rsidRDefault="000058D0">
    <w:pPr>
      <w:tabs>
        <w:tab w:val="center" w:pos="4677"/>
        <w:tab w:val="right" w:pos="9355"/>
      </w:tabs>
      <w:jc w:val="right"/>
    </w:pPr>
  </w:p>
  <w:p w:rsidR="000058D0" w:rsidRDefault="000058D0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13" w:rsidRDefault="00971A13">
      <w:r>
        <w:separator/>
      </w:r>
    </w:p>
  </w:footnote>
  <w:footnote w:type="continuationSeparator" w:id="0">
    <w:p w:rsidR="00971A13" w:rsidRDefault="0097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CF3"/>
    <w:multiLevelType w:val="multilevel"/>
    <w:tmpl w:val="EB90939C"/>
    <w:lvl w:ilvl="0">
      <w:start w:val="1"/>
      <w:numFmt w:val="decimal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8AF0853"/>
    <w:multiLevelType w:val="multilevel"/>
    <w:tmpl w:val="367A2DD6"/>
    <w:lvl w:ilvl="0">
      <w:start w:val="1"/>
      <w:numFmt w:val="decimal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B79036C"/>
    <w:multiLevelType w:val="multilevel"/>
    <w:tmpl w:val="DBCE0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8D0"/>
    <w:rsid w:val="000058D0"/>
    <w:rsid w:val="0022427E"/>
    <w:rsid w:val="009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line="288" w:lineRule="auto"/>
      <w:outlineLvl w:val="2"/>
    </w:pPr>
    <w:rPr>
      <w:rFonts w:asciiTheme="majorHAnsi" w:hAnsiTheme="majorHAns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</w:rPr>
  </w:style>
  <w:style w:type="paragraph" w:styleId="a5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customStyle="1" w:styleId="13">
    <w:name w:val="Знак примечания1"/>
    <w:basedOn w:val="12"/>
    <w:link w:val="a7"/>
    <w:rPr>
      <w:sz w:val="16"/>
    </w:rPr>
  </w:style>
  <w:style w:type="character" w:styleId="a7">
    <w:name w:val="annotation reference"/>
    <w:basedOn w:val="a0"/>
    <w:link w:val="13"/>
    <w:rPr>
      <w:sz w:val="16"/>
    </w:rPr>
  </w:style>
  <w:style w:type="paragraph" w:customStyle="1" w:styleId="14">
    <w:name w:val="Замещающий текст1"/>
    <w:basedOn w:val="12"/>
    <w:link w:val="a8"/>
    <w:rPr>
      <w:color w:val="808080"/>
    </w:rPr>
  </w:style>
  <w:style w:type="character" w:styleId="a8">
    <w:name w:val="Placeholder Text"/>
    <w:basedOn w:val="a0"/>
    <w:link w:val="14"/>
    <w:rPr>
      <w:color w:val="80808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c">
    <w:name w:val="annotation subject"/>
    <w:basedOn w:val="a5"/>
    <w:next w:val="a5"/>
    <w:link w:val="ad"/>
    <w:rPr>
      <w:b/>
    </w:rPr>
  </w:style>
  <w:style w:type="character" w:customStyle="1" w:styleId="ad">
    <w:name w:val="Тема примечания Знак"/>
    <w:basedOn w:val="a6"/>
    <w:link w:val="ac"/>
    <w:rPr>
      <w:b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Строгий1"/>
    <w:basedOn w:val="12"/>
    <w:link w:val="ae"/>
    <w:rPr>
      <w:b/>
    </w:rPr>
  </w:style>
  <w:style w:type="character" w:styleId="ae">
    <w:name w:val="Strong"/>
    <w:basedOn w:val="a0"/>
    <w:link w:val="18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</w:style>
  <w:style w:type="paragraph" w:styleId="af3">
    <w:name w:val="Balloon Text"/>
    <w:basedOn w:val="a"/>
    <w:link w:val="af4"/>
    <w:rPr>
      <w:rFonts w:ascii="Segoe UI" w:hAnsi="Segoe UI"/>
      <w:sz w:val="18"/>
    </w:rPr>
  </w:style>
  <w:style w:type="character" w:customStyle="1" w:styleId="af4">
    <w:name w:val="Текст выноски Знак"/>
    <w:basedOn w:val="1"/>
    <w:link w:val="af3"/>
    <w:rPr>
      <w:rFonts w:ascii="Segoe UI" w:hAnsi="Segoe UI"/>
      <w:sz w:val="18"/>
    </w:rPr>
  </w:style>
  <w:style w:type="paragraph" w:styleId="af5">
    <w:name w:val="Subtitle"/>
    <w:basedOn w:val="a"/>
    <w:next w:val="a"/>
    <w:link w:val="af6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6">
    <w:name w:val="Подзаголовок Знак"/>
    <w:basedOn w:val="1"/>
    <w:link w:val="af5"/>
    <w:rPr>
      <w:rFonts w:ascii="Georgia" w:hAnsi="Georgia"/>
      <w:i/>
      <w:color w:val="666666"/>
      <w:sz w:val="48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basedOn w:val="a"/>
    <w:next w:val="a"/>
    <w:link w:val="af8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8">
    <w:name w:val="Название Знак"/>
    <w:basedOn w:val="1"/>
    <w:link w:val="af7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1"/>
    <w:link w:val="4"/>
    <w:rPr>
      <w:b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1"/>
    <w:basedOn w:val="TableNormal"/>
    <w:tblPr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Грудков</cp:lastModifiedBy>
  <cp:revision>3</cp:revision>
  <dcterms:created xsi:type="dcterms:W3CDTF">2022-02-01T14:03:00Z</dcterms:created>
  <dcterms:modified xsi:type="dcterms:W3CDTF">2022-02-01T14:04:00Z</dcterms:modified>
</cp:coreProperties>
</file>